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643" w:firstLineChars="200"/>
        <w:jc w:val="center"/>
        <w:rPr>
          <w:b/>
          <w:sz w:val="32"/>
        </w:rPr>
      </w:pPr>
      <w:r>
        <w:rPr>
          <w:rFonts w:hint="eastAsia"/>
          <w:b/>
          <w:sz w:val="32"/>
        </w:rPr>
        <w:t>光学工程学位点建设年度报告（2</w:t>
      </w:r>
      <w:r>
        <w:rPr>
          <w:b/>
          <w:sz w:val="32"/>
        </w:rPr>
        <w:t>021</w:t>
      </w:r>
      <w:r>
        <w:rPr>
          <w:rFonts w:hint="eastAsia"/>
          <w:b/>
          <w:sz w:val="32"/>
        </w:rPr>
        <w:t>）</w:t>
      </w:r>
    </w:p>
    <w:p>
      <w:pPr>
        <w:ind w:firstLine="562" w:firstLineChars="200"/>
        <w:rPr>
          <w:b/>
          <w:sz w:val="28"/>
        </w:rPr>
      </w:pPr>
    </w:p>
    <w:p>
      <w:pPr>
        <w:spacing w:line="360" w:lineRule="auto"/>
        <w:ind w:firstLine="482" w:firstLineChars="200"/>
        <w:rPr>
          <w:b/>
          <w:sz w:val="24"/>
          <w:szCs w:val="24"/>
        </w:rPr>
      </w:pPr>
      <w:r>
        <w:rPr>
          <w:rFonts w:hint="eastAsia"/>
          <w:b/>
          <w:sz w:val="24"/>
          <w:szCs w:val="24"/>
        </w:rPr>
        <w:t>一、总体概况</w:t>
      </w:r>
    </w:p>
    <w:p>
      <w:pPr>
        <w:pStyle w:val="11"/>
        <w:adjustRightInd w:val="0"/>
        <w:snapToGrid w:val="0"/>
        <w:spacing w:line="360" w:lineRule="auto"/>
        <w:ind w:firstLine="480"/>
        <w:jc w:val="both"/>
      </w:pPr>
      <w:r>
        <w:rPr>
          <w:rFonts w:hint="eastAsia" w:asciiTheme="minorHAnsi" w:hAnsiTheme="minorHAnsi" w:eastAsiaTheme="minorEastAsia" w:cstheme="minorBidi"/>
          <w:kern w:val="2"/>
        </w:rPr>
        <w:t>华南农业大学光学工程学科始建于</w:t>
      </w:r>
      <w:r>
        <w:rPr>
          <w:rFonts w:asciiTheme="minorHAnsi" w:hAnsiTheme="minorHAnsi" w:eastAsiaTheme="minorEastAsia" w:cstheme="minorBidi"/>
          <w:kern w:val="2"/>
        </w:rPr>
        <w:t>2017</w:t>
      </w:r>
      <w:r>
        <w:rPr>
          <w:rFonts w:hint="eastAsia" w:asciiTheme="minorHAnsi" w:hAnsiTheme="minorHAnsi" w:eastAsiaTheme="minorEastAsia" w:cstheme="minorBidi"/>
          <w:kern w:val="2"/>
        </w:rPr>
        <w:t>年，依托电子工程学院（人工智能学院）“国家精准农业航空施药技术国际联合研究中心”、广东省智慧农业工程技术中心、“广东省农情信息监测工程技术研究中心”等国家级和省部级平台，光学工程学科建设取得了丰硕的成果。</w:t>
      </w:r>
      <w:r>
        <w:rPr>
          <w:rFonts w:hint="eastAsia" w:asciiTheme="minorHAnsi" w:hAnsiTheme="minorHAnsi" w:eastAsiaTheme="minorEastAsia" w:cstheme="minorBidi"/>
          <w:kern w:val="2"/>
          <w:lang w:val="en-US" w:eastAsia="zh-CN"/>
        </w:rPr>
        <w:t>目前</w:t>
      </w:r>
      <w:bookmarkStart w:id="0" w:name="_GoBack"/>
      <w:bookmarkEnd w:id="0"/>
      <w:r>
        <w:rPr>
          <w:rFonts w:hint="eastAsia" w:asciiTheme="minorHAnsi" w:hAnsiTheme="minorHAnsi" w:eastAsiaTheme="minorEastAsia" w:cstheme="minorBidi"/>
          <w:kern w:val="2"/>
        </w:rPr>
        <w:t>已经逐步形成纳米光学与光电子器件、光电成像技术及应用、光电信息智能处理与系统等特色学科方向。学科共有专业教师</w:t>
      </w:r>
      <w:r>
        <w:rPr>
          <w:rFonts w:asciiTheme="minorHAnsi" w:hAnsiTheme="minorHAnsi" w:eastAsiaTheme="minorEastAsia" w:cstheme="minorBidi"/>
          <w:kern w:val="2"/>
        </w:rPr>
        <w:t>18人，其中教授4名、副教授12名、</w:t>
      </w:r>
      <w:r>
        <w:rPr>
          <w:rFonts w:hint="eastAsia" w:asciiTheme="minorHAnsi" w:hAnsiTheme="minorHAnsi" w:eastAsiaTheme="minorEastAsia" w:cstheme="minorBidi"/>
          <w:kern w:val="2"/>
        </w:rPr>
        <w:t>讲师</w:t>
      </w:r>
      <w:r>
        <w:rPr>
          <w:rFonts w:asciiTheme="minorHAnsi" w:hAnsiTheme="minorHAnsi" w:eastAsiaTheme="minorEastAsia" w:cstheme="minorBidi"/>
          <w:kern w:val="2"/>
        </w:rPr>
        <w:t>4名，包括广东省“南粤优秀教师”1人、 广东省“千百十工程”培养对象2人、广东省“</w:t>
      </w:r>
      <w:r>
        <w:rPr>
          <w:rFonts w:hint="eastAsia" w:asciiTheme="minorHAnsi" w:hAnsiTheme="minorHAnsi" w:eastAsiaTheme="minorEastAsia" w:cstheme="minorBidi"/>
          <w:kern w:val="2"/>
        </w:rPr>
        <w:t>自然科学</w:t>
      </w:r>
      <w:r>
        <w:rPr>
          <w:rFonts w:asciiTheme="minorHAnsi" w:hAnsiTheme="minorHAnsi" w:eastAsiaTheme="minorEastAsia" w:cstheme="minorBidi"/>
          <w:kern w:val="2"/>
        </w:rPr>
        <w:t>杰出青年基</w:t>
      </w:r>
      <w:r>
        <w:rPr>
          <w:rFonts w:hint="eastAsia" w:asciiTheme="minorHAnsi" w:hAnsiTheme="minorHAnsi" w:eastAsiaTheme="minorEastAsia" w:cstheme="minorBidi"/>
          <w:kern w:val="2"/>
        </w:rPr>
        <w:t>获得者</w:t>
      </w:r>
      <w:r>
        <w:rPr>
          <w:rFonts w:asciiTheme="minorHAnsi" w:hAnsiTheme="minorHAnsi" w:eastAsiaTheme="minorEastAsia" w:cstheme="minorBidi"/>
          <w:kern w:val="2"/>
        </w:rPr>
        <w:t>1人。</w:t>
      </w:r>
      <w:r>
        <w:rPr>
          <w:rFonts w:hint="eastAsia"/>
        </w:rPr>
        <w:t xml:space="preserve">现有在聘博士生导师2名、学术型硕士生导师7名和专业型硕士生导师13名。 </w:t>
      </w:r>
    </w:p>
    <w:p>
      <w:pPr>
        <w:spacing w:line="360" w:lineRule="auto"/>
        <w:ind w:firstLine="482" w:firstLineChars="200"/>
        <w:rPr>
          <w:b/>
          <w:sz w:val="24"/>
          <w:szCs w:val="24"/>
        </w:rPr>
      </w:pPr>
      <w:r>
        <w:rPr>
          <w:rFonts w:hint="eastAsia"/>
          <w:b/>
          <w:sz w:val="24"/>
          <w:szCs w:val="24"/>
        </w:rPr>
        <w:t>二、研究生党建和思想政治教育工作</w:t>
      </w:r>
    </w:p>
    <w:p>
      <w:pPr>
        <w:spacing w:line="360" w:lineRule="auto"/>
        <w:ind w:firstLine="480" w:firstLineChars="200"/>
        <w:rPr>
          <w:sz w:val="24"/>
          <w:szCs w:val="24"/>
        </w:rPr>
      </w:pPr>
      <w:r>
        <w:rPr>
          <w:rFonts w:hint="eastAsia"/>
          <w:sz w:val="24"/>
          <w:szCs w:val="24"/>
        </w:rPr>
        <w:t>1. 加强党的政治建设，扎实开展党史学习教育。各学生党支部以线上线下的形式开展 “建党一百周年”学习教育主题党日活动、习近平总书记在庆祝中国共产党成立100周年大会上的重要讲话心得分享、十九届六中全会精神学习、“师生共上一堂党课”、《中国共产党简史》读书分享会等主题党日活动。</w:t>
      </w:r>
    </w:p>
    <w:p>
      <w:pPr>
        <w:spacing w:line="360" w:lineRule="auto"/>
        <w:ind w:firstLine="480" w:firstLineChars="200"/>
        <w:rPr>
          <w:sz w:val="24"/>
          <w:szCs w:val="24"/>
        </w:rPr>
      </w:pPr>
      <w:r>
        <w:rPr>
          <w:rFonts w:hint="eastAsia"/>
          <w:sz w:val="24"/>
          <w:szCs w:val="24"/>
        </w:rPr>
        <w:t>2．落实“院领导进社区”制度。每学期学院班子和学科负责人深入学生社区，分别开展研究生座谈会，解决学生问题，落实党史学习教育“我为群众办实事”活动。</w:t>
      </w:r>
    </w:p>
    <w:p>
      <w:pPr>
        <w:spacing w:line="360" w:lineRule="auto"/>
        <w:ind w:firstLine="480" w:firstLineChars="200"/>
        <w:rPr>
          <w:sz w:val="24"/>
          <w:szCs w:val="24"/>
        </w:rPr>
      </w:pPr>
      <w:r>
        <w:rPr>
          <w:rFonts w:hint="eastAsia"/>
          <w:sz w:val="24"/>
          <w:szCs w:val="24"/>
        </w:rPr>
        <w:t>3．加强团员青年学习教育，学习习近平总书记七一重要讲话以及十九届六中全会上的重要讲话精神等，团委工作主抓“青年大学习”，强化团员青年学习考核制度，参学率由60%逐步提升至85%左右。</w:t>
      </w:r>
    </w:p>
    <w:p>
      <w:pPr>
        <w:spacing w:line="360" w:lineRule="auto"/>
        <w:ind w:firstLine="482" w:firstLineChars="200"/>
        <w:rPr>
          <w:b/>
          <w:sz w:val="24"/>
          <w:szCs w:val="24"/>
        </w:rPr>
      </w:pPr>
      <w:r>
        <w:rPr>
          <w:rFonts w:hint="eastAsia"/>
          <w:b/>
          <w:sz w:val="24"/>
          <w:szCs w:val="24"/>
        </w:rPr>
        <w:t>三、研究生培养相关制度及执行情况</w:t>
      </w:r>
    </w:p>
    <w:p>
      <w:pPr>
        <w:spacing w:line="360" w:lineRule="auto"/>
        <w:ind w:firstLine="480" w:firstLineChars="200"/>
        <w:rPr>
          <w:sz w:val="24"/>
          <w:szCs w:val="24"/>
        </w:rPr>
      </w:pPr>
      <w:r>
        <w:rPr>
          <w:rFonts w:hint="eastAsia"/>
          <w:sz w:val="24"/>
          <w:szCs w:val="24"/>
        </w:rPr>
        <w:t>1. 学科认真贯彻落实研究生培养环节具体标准及考核要求，参照学校相关文件及时开展研究生开题报告、中期考核、文献阅读、学术交流等质量保障制度，加强研究生的过程培养规范，提升研究生培养质量，支持研究生赴境外参加学术交流活动，2021在读研究生发表的高水平论文1</w:t>
      </w:r>
      <w:r>
        <w:rPr>
          <w:sz w:val="24"/>
          <w:szCs w:val="24"/>
        </w:rPr>
        <w:t> </w:t>
      </w:r>
      <w:r>
        <w:rPr>
          <w:rFonts w:hint="eastAsia"/>
          <w:sz w:val="24"/>
          <w:szCs w:val="24"/>
        </w:rPr>
        <w:t>篇。</w:t>
      </w:r>
    </w:p>
    <w:p>
      <w:pPr>
        <w:spacing w:line="360" w:lineRule="auto"/>
        <w:ind w:firstLine="480" w:firstLineChars="200"/>
        <w:rPr>
          <w:sz w:val="24"/>
          <w:szCs w:val="24"/>
        </w:rPr>
      </w:pPr>
      <w:r>
        <w:rPr>
          <w:rFonts w:hint="eastAsia"/>
          <w:sz w:val="24"/>
          <w:szCs w:val="24"/>
        </w:rPr>
        <w:t>2、成立了师德专题教育领导小组，以定期组织专题集中学习、党员组织生活、师德教育讲座等形式，将师德专题教育与教师思政工作、业务能力建设等相结合。</w:t>
      </w:r>
    </w:p>
    <w:p>
      <w:pPr>
        <w:spacing w:line="360" w:lineRule="auto"/>
        <w:ind w:firstLine="480" w:firstLineChars="200"/>
        <w:rPr>
          <w:sz w:val="24"/>
          <w:szCs w:val="24"/>
        </w:rPr>
      </w:pPr>
      <w:r>
        <w:rPr>
          <w:rFonts w:hint="eastAsia"/>
          <w:sz w:val="24"/>
          <w:szCs w:val="24"/>
        </w:rPr>
        <w:t>3、本学科利用导师培训、单周学习、党建活动等多种形式，发挥导师在研究生思政教育中“第一责任人”，不定期地组织导师参加工作交流、师生座谈会等活动，强化导师 “第一责任人”的主体意识，倡导良好的导学关系。</w:t>
      </w:r>
    </w:p>
    <w:p>
      <w:pPr>
        <w:spacing w:line="360" w:lineRule="auto"/>
        <w:ind w:firstLine="482" w:firstLineChars="200"/>
        <w:rPr>
          <w:b/>
          <w:sz w:val="24"/>
          <w:szCs w:val="24"/>
        </w:rPr>
      </w:pPr>
      <w:r>
        <w:rPr>
          <w:rFonts w:hint="eastAsia"/>
          <w:b/>
          <w:sz w:val="24"/>
          <w:szCs w:val="24"/>
        </w:rPr>
        <w:t>四、研究生教育改革</w:t>
      </w:r>
    </w:p>
    <w:p>
      <w:pPr>
        <w:pStyle w:val="11"/>
        <w:adjustRightInd w:val="0"/>
        <w:snapToGrid w:val="0"/>
        <w:spacing w:line="360" w:lineRule="auto"/>
        <w:ind w:firstLine="480"/>
        <w:jc w:val="both"/>
        <w:rPr>
          <w:rFonts w:hint="eastAsia"/>
          <w:color w:val="000000"/>
          <w:sz w:val="18"/>
          <w:szCs w:val="18"/>
        </w:rPr>
      </w:pPr>
      <w:r>
        <w:rPr>
          <w:rFonts w:hint="eastAsia"/>
          <w:color w:val="000000"/>
          <w:szCs w:val="21"/>
        </w:rPr>
        <w:t>学位点不断进行课程教学改革，根据国务院学位委员会《学术学位研究生核心课程指南》修订了光学工程学位点人才培养方案，调整课程结构，优化教学内容，着重培养从事光学工程、机器视觉、光电信息智能处理等领域应用创新型人才</w:t>
      </w:r>
      <w:r>
        <w:rPr>
          <w:rFonts w:hint="eastAsia" w:cs="Times New Roman"/>
          <w:color w:val="000000"/>
        </w:rPr>
        <w:t>，构建</w:t>
      </w:r>
      <w:r>
        <w:rPr>
          <w:rFonts w:cs="Times New Roman"/>
          <w:color w:val="000000"/>
        </w:rPr>
        <w:t xml:space="preserve"> “光电智农”交叉融合的应用创新型人才培养模式</w:t>
      </w:r>
      <w:r>
        <w:rPr>
          <w:rFonts w:hint="eastAsia" w:cs="Times New Roman"/>
          <w:color w:val="000000"/>
        </w:rPr>
        <w:t>，培养光学工程、人工智能和智慧农业交叉融合的高层次应用创新型人才，采用任课教师团队授课和团队指导，按照教师的学科专长、不同科研方向的知识输入，为学生跨学科知识的吸收提供了有利条件。</w:t>
      </w:r>
    </w:p>
    <w:p>
      <w:pPr>
        <w:spacing w:line="360" w:lineRule="auto"/>
        <w:ind w:firstLine="482" w:firstLineChars="200"/>
        <w:rPr>
          <w:b/>
          <w:sz w:val="24"/>
          <w:szCs w:val="24"/>
        </w:rPr>
      </w:pPr>
      <w:r>
        <w:rPr>
          <w:rFonts w:hint="eastAsia"/>
          <w:b/>
          <w:sz w:val="24"/>
          <w:szCs w:val="24"/>
        </w:rPr>
        <w:t>五、教育质量评估与分析</w:t>
      </w:r>
    </w:p>
    <w:p>
      <w:pPr>
        <w:spacing w:line="360" w:lineRule="auto"/>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本年度本学科的教育质量总体有所提升，学位点所有老师认真负责，做好模范表率作用，在研究生培养过程中未出现教学事故和学术不端行为。进一步规范学位论文开题报告、中期考核等环节，增开了《机器视觉与光谱技术》、《</w:t>
      </w:r>
      <w:r>
        <w:rPr>
          <w:rFonts w:ascii="宋体" w:hAnsi="宋体" w:eastAsia="宋体" w:cs="Times New Roman"/>
          <w:color w:val="000000"/>
          <w:kern w:val="0"/>
          <w:sz w:val="24"/>
          <w:szCs w:val="24"/>
        </w:rPr>
        <w:t>机器学习</w:t>
      </w:r>
      <w:r>
        <w:rPr>
          <w:rFonts w:hint="eastAsia" w:ascii="宋体" w:hAnsi="宋体" w:eastAsia="宋体" w:cs="Times New Roman"/>
          <w:color w:val="000000"/>
          <w:kern w:val="0"/>
          <w:sz w:val="24"/>
          <w:szCs w:val="24"/>
        </w:rPr>
        <w:t>》、《深度学习》等光学工程与人工智能领域交叉的课程，提高教学质量。2</w:t>
      </w:r>
      <w:r>
        <w:rPr>
          <w:rFonts w:ascii="宋体" w:hAnsi="宋体" w:eastAsia="宋体" w:cs="Times New Roman"/>
          <w:color w:val="000000"/>
          <w:kern w:val="0"/>
          <w:sz w:val="24"/>
          <w:szCs w:val="24"/>
        </w:rPr>
        <w:t>021</w:t>
      </w:r>
      <w:r>
        <w:rPr>
          <w:rFonts w:hint="eastAsia" w:ascii="宋体" w:hAnsi="宋体" w:eastAsia="宋体" w:cs="Times New Roman"/>
          <w:color w:val="000000"/>
          <w:kern w:val="0"/>
          <w:sz w:val="24"/>
          <w:szCs w:val="24"/>
        </w:rPr>
        <w:t>年共有研究生2</w:t>
      </w: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人，2人获学业一等奖学金，占学科总人数9.5%，6人获二等奖学金，占学科总人数28.6%。2</w:t>
      </w:r>
      <w:r>
        <w:rPr>
          <w:rFonts w:ascii="宋体" w:hAnsi="宋体" w:eastAsia="宋体" w:cs="Times New Roman"/>
          <w:color w:val="000000"/>
          <w:kern w:val="0"/>
          <w:sz w:val="24"/>
          <w:szCs w:val="24"/>
        </w:rPr>
        <w:t>021</w:t>
      </w:r>
      <w:r>
        <w:rPr>
          <w:rFonts w:hint="eastAsia" w:ascii="宋体" w:hAnsi="宋体" w:eastAsia="宋体" w:cs="Times New Roman"/>
          <w:color w:val="000000"/>
          <w:kern w:val="0"/>
          <w:sz w:val="24"/>
          <w:szCs w:val="24"/>
        </w:rPr>
        <w:t>研究生招生人数为1</w:t>
      </w:r>
      <w:r>
        <w:rPr>
          <w:rFonts w:ascii="宋体" w:hAnsi="宋体" w:eastAsia="宋体" w:cs="Times New Roman"/>
          <w:color w:val="000000"/>
          <w:kern w:val="0"/>
          <w:sz w:val="24"/>
          <w:szCs w:val="24"/>
        </w:rPr>
        <w:t>0</w:t>
      </w:r>
      <w:r>
        <w:rPr>
          <w:rFonts w:hint="eastAsia" w:ascii="宋体" w:hAnsi="宋体" w:eastAsia="宋体" w:cs="Times New Roman"/>
          <w:color w:val="000000"/>
          <w:kern w:val="0"/>
          <w:sz w:val="24"/>
          <w:szCs w:val="24"/>
        </w:rPr>
        <w:t>人，生源质量整体有所提升。</w:t>
      </w:r>
    </w:p>
    <w:p>
      <w:pPr>
        <w:spacing w:line="360" w:lineRule="auto"/>
        <w:ind w:firstLine="482" w:firstLineChars="200"/>
        <w:rPr>
          <w:b/>
          <w:sz w:val="24"/>
          <w:szCs w:val="24"/>
        </w:rPr>
      </w:pPr>
      <w:r>
        <w:rPr>
          <w:rFonts w:hint="eastAsia"/>
          <w:b/>
          <w:sz w:val="24"/>
          <w:szCs w:val="24"/>
        </w:rPr>
        <w:t>六、改进措施</w:t>
      </w:r>
    </w:p>
    <w:p>
      <w:pPr>
        <w:spacing w:line="360" w:lineRule="auto"/>
        <w:ind w:firstLine="480" w:firstLineChars="200"/>
        <w:rPr>
          <w:sz w:val="24"/>
          <w:szCs w:val="24"/>
        </w:rPr>
      </w:pPr>
      <w:r>
        <w:rPr>
          <w:rFonts w:hint="eastAsia"/>
          <w:sz w:val="24"/>
          <w:szCs w:val="24"/>
        </w:rPr>
        <w:t>在人才培养和学科自身的综合性发展等方面还需进一步深化，要着力培养学科的核心竞争力；从生源质量、师资队伍等各方面集中发力，培养学科特色专业及优势，做好招生宣传工作，吸引优质生源，扩大研究生培养规模，进一步引进人才，并提高教师队伍中的高级职称人员比例。</w:t>
      </w:r>
    </w:p>
    <w:p>
      <w:pPr>
        <w:spacing w:line="360" w:lineRule="auto"/>
        <w:ind w:firstLine="560" w:firstLineChars="200"/>
        <w:rPr>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2D"/>
    <w:rsid w:val="0000398C"/>
    <w:rsid w:val="00041545"/>
    <w:rsid w:val="00065171"/>
    <w:rsid w:val="001352B2"/>
    <w:rsid w:val="001C60D4"/>
    <w:rsid w:val="00242B0F"/>
    <w:rsid w:val="002F5FB8"/>
    <w:rsid w:val="00330CA6"/>
    <w:rsid w:val="003B7F54"/>
    <w:rsid w:val="003E11ED"/>
    <w:rsid w:val="004269CA"/>
    <w:rsid w:val="004E3376"/>
    <w:rsid w:val="004F076C"/>
    <w:rsid w:val="00520BEB"/>
    <w:rsid w:val="00537EF7"/>
    <w:rsid w:val="00552B91"/>
    <w:rsid w:val="00661C5D"/>
    <w:rsid w:val="00692F05"/>
    <w:rsid w:val="006B06A5"/>
    <w:rsid w:val="007751B1"/>
    <w:rsid w:val="00823C39"/>
    <w:rsid w:val="0084037A"/>
    <w:rsid w:val="008D7BBC"/>
    <w:rsid w:val="00907985"/>
    <w:rsid w:val="009A1ED4"/>
    <w:rsid w:val="00A52545"/>
    <w:rsid w:val="00AA5B05"/>
    <w:rsid w:val="00BC4461"/>
    <w:rsid w:val="00BF27E2"/>
    <w:rsid w:val="00BF4939"/>
    <w:rsid w:val="00C65512"/>
    <w:rsid w:val="00C67B20"/>
    <w:rsid w:val="00C72156"/>
    <w:rsid w:val="00CF212C"/>
    <w:rsid w:val="00D434D5"/>
    <w:rsid w:val="00DC31F3"/>
    <w:rsid w:val="00DF0B2D"/>
    <w:rsid w:val="00EA3D92"/>
    <w:rsid w:val="00ED68C3"/>
    <w:rsid w:val="00F42BF0"/>
    <w:rsid w:val="00F619FD"/>
    <w:rsid w:val="00F95F5C"/>
    <w:rsid w:val="00FA2668"/>
    <w:rsid w:val="00FB4C36"/>
    <w:rsid w:val="214B31BA"/>
    <w:rsid w:val="345C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2"/>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2"/>
    <w:link w:val="5"/>
    <w:uiPriority w:val="99"/>
    <w:rPr>
      <w:sz w:val="18"/>
      <w:szCs w:val="18"/>
    </w:rPr>
  </w:style>
  <w:style w:type="character" w:customStyle="1" w:styleId="10">
    <w:name w:val="页脚 字符"/>
    <w:basedOn w:val="2"/>
    <w:link w:val="4"/>
    <w:qFormat/>
    <w:uiPriority w:val="99"/>
    <w:rPr>
      <w:sz w:val="18"/>
      <w:szCs w:val="18"/>
    </w:rPr>
  </w:style>
  <w:style w:type="paragraph" w:customStyle="1" w:styleId="11">
    <w:name w:val="列表段落1"/>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0396-720A-432A-B9D2-7E8DADE4701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232</Words>
  <Characters>1328</Characters>
  <Lines>11</Lines>
  <Paragraphs>3</Paragraphs>
  <TotalTime>190</TotalTime>
  <ScaleCrop>false</ScaleCrop>
  <LinksUpToDate>false</LinksUpToDate>
  <CharactersWithSpaces>1557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2022-03-19T11:46:00Z</dcterms:created>
  <dc:creator>邹楠</dc:creator>
  <cp:lastModifiedBy>Fang Lin</cp:lastModifiedBy>
  <dcterms:modified xsi:type="dcterms:W3CDTF">2023-10-17T17:23:11Z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197D03FDD1B44908A3DAD8C16A8B3F54_13</vt:lpwstr>
  </property>
</Properties>
</file>